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b/>
          <w:color w:val="auto"/>
          <w:sz w:val="24"/>
          <w:szCs w:val="24"/>
        </w:rPr>
      </w:pPr>
      <w:bookmarkStart w:id="0" w:name="_Toc24112_WPSOffice_Level1"/>
      <w:r>
        <w:rPr>
          <w:rFonts w:hint="eastAsia" w:ascii="宋体" w:hAnsi="宋体"/>
          <w:b/>
          <w:color w:val="auto"/>
          <w:sz w:val="22"/>
        </w:rPr>
        <w:t>附件(三）</w:t>
      </w:r>
      <w:r>
        <w:rPr>
          <w:rFonts w:hint="eastAsia" w:ascii="宋体" w:hAnsi="宋体"/>
          <w:b/>
          <w:color w:val="auto"/>
          <w:sz w:val="24"/>
          <w:szCs w:val="24"/>
        </w:rPr>
        <w:t>：</w:t>
      </w:r>
      <w:bookmarkEnd w:id="0"/>
    </w:p>
    <w:p>
      <w:pPr>
        <w:spacing w:line="360" w:lineRule="auto"/>
        <w:jc w:val="center"/>
        <w:outlineLvl w:val="1"/>
        <w:rPr>
          <w:b/>
          <w:color w:val="auto"/>
          <w:sz w:val="32"/>
          <w:szCs w:val="24"/>
        </w:rPr>
      </w:pPr>
      <w:bookmarkStart w:id="1" w:name="_Toc2507_WPSOffice_Level2"/>
      <w:bookmarkStart w:id="2" w:name="_Toc419880496"/>
      <w:bookmarkStart w:id="14" w:name="_GoBack"/>
      <w:r>
        <w:rPr>
          <w:rFonts w:hint="eastAsia"/>
          <w:b/>
          <w:color w:val="auto"/>
          <w:sz w:val="32"/>
          <w:szCs w:val="24"/>
        </w:rPr>
        <w:t>南通国际会展</w:t>
      </w:r>
      <w:r>
        <w:rPr>
          <w:b/>
          <w:color w:val="auto"/>
          <w:sz w:val="32"/>
          <w:szCs w:val="24"/>
        </w:rPr>
        <w:t>中心施工</w:t>
      </w:r>
      <w:r>
        <w:rPr>
          <w:rFonts w:hint="eastAsia"/>
          <w:b/>
          <w:color w:val="auto"/>
          <w:sz w:val="32"/>
          <w:szCs w:val="24"/>
        </w:rPr>
        <w:t>安全规定</w:t>
      </w:r>
      <w:bookmarkEnd w:id="1"/>
    </w:p>
    <w:bookmarkEnd w:id="14"/>
    <w:p>
      <w:pPr>
        <w:pStyle w:val="5"/>
        <w:adjustRightIn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根据国家有关法律法规以及《江苏省大型群众性活动安全管理条例》的规定，南通国际会展中心作为大型会议展览场馆，有义务履行法律赋予的安全管理职责，全面维护场馆各类设备设施的安全责任。为了贯彻落实江苏省南通市政府及各级组织对于安全生产管理的要求，结合会展行业施工搭建活动的特点，以及施工过程中各展台的搭建材料、施工工艺、搭建进度均有不同，且各工种相互交叉作业的复杂情况，为规范施工现场秩序，消灭各种安全隐患杜绝安全事故，特制定《南通国际会展中心施工安全规定》，并将场馆内施工过程中的各项安全规定予以通告，望各施工单位在施工过程中严格遵守执行，杜绝一切安全事故发生。</w:t>
      </w:r>
    </w:p>
    <w:p>
      <w:pPr>
        <w:pStyle w:val="5"/>
        <w:adjustRightInd w:val="0"/>
        <w:spacing w:line="360" w:lineRule="auto"/>
        <w:ind w:firstLine="480" w:firstLineChars="200"/>
        <w:rPr>
          <w:rFonts w:hint="eastAsia" w:ascii="宋体" w:hAnsi="宋体" w:cs="宋体"/>
          <w:color w:val="auto"/>
          <w:sz w:val="24"/>
          <w:szCs w:val="24"/>
        </w:rPr>
      </w:pPr>
    </w:p>
    <w:p>
      <w:pPr>
        <w:pStyle w:val="5"/>
        <w:numPr>
          <w:ilvl w:val="0"/>
          <w:numId w:val="1"/>
        </w:numPr>
        <w:spacing w:line="360" w:lineRule="auto"/>
        <w:ind w:left="357" w:hanging="357"/>
        <w:jc w:val="left"/>
        <w:outlineLvl w:val="0"/>
        <w:rPr>
          <w:rFonts w:hint="eastAsia" w:ascii="宋体" w:hAnsi="宋体" w:cs="宋体"/>
          <w:b/>
          <w:color w:val="auto"/>
          <w:sz w:val="24"/>
          <w:szCs w:val="24"/>
        </w:rPr>
      </w:pPr>
      <w:bookmarkStart w:id="3" w:name="_Toc9763_WPSOffice_Level1"/>
      <w:r>
        <w:rPr>
          <w:rFonts w:hint="eastAsia" w:ascii="宋体" w:hAnsi="宋体" w:cs="宋体"/>
          <w:b/>
          <w:color w:val="auto"/>
          <w:sz w:val="24"/>
          <w:szCs w:val="24"/>
        </w:rPr>
        <w:t>主场施工安全管理职责</w:t>
      </w:r>
      <w:bookmarkEnd w:id="3"/>
    </w:p>
    <w:p>
      <w:pPr>
        <w:pStyle w:val="5"/>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组织机构健全，人员配备齐全（一岗双责）。</w:t>
      </w:r>
    </w:p>
    <w:p>
      <w:pPr>
        <w:pStyle w:val="5"/>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必须按照5000</w:t>
      </w:r>
      <w:r>
        <w:rPr>
          <w:rFonts w:hint="eastAsia" w:ascii="宋体" w:hAnsi="宋体" w:cs="宋体"/>
          <w:color w:val="auto"/>
          <w:sz w:val="24"/>
          <w:szCs w:val="24"/>
          <w:lang w:val="en-US" w:eastAsia="zh-CN"/>
        </w:rPr>
        <w:t>㎡</w:t>
      </w:r>
      <w:r>
        <w:rPr>
          <w:rFonts w:hint="eastAsia" w:ascii="宋体" w:hAnsi="宋体" w:cs="宋体"/>
          <w:color w:val="auto"/>
          <w:sz w:val="24"/>
          <w:szCs w:val="24"/>
        </w:rPr>
        <w:t>不少于2人配备专职安全员并配带红袖标，巡视检查安全工作。</w:t>
      </w:r>
    </w:p>
    <w:p>
      <w:pPr>
        <w:pStyle w:val="5"/>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安排专人对货场货物装卸工作进行监督管理，确保文明、安全、有序装卸货物。</w:t>
      </w:r>
    </w:p>
    <w:p>
      <w:pPr>
        <w:pStyle w:val="5"/>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负责对搭建期间施工人员不带安全帽、</w:t>
      </w:r>
      <w:r>
        <w:rPr>
          <w:rFonts w:ascii="宋体" w:hAnsi="宋体" w:cs="宋体"/>
          <w:color w:val="auto"/>
          <w:sz w:val="24"/>
          <w:szCs w:val="24"/>
        </w:rPr>
        <w:t>2</w:t>
      </w:r>
      <w:r>
        <w:rPr>
          <w:rFonts w:hint="eastAsia" w:ascii="宋体" w:hAnsi="宋体" w:cs="宋体"/>
          <w:color w:val="auto"/>
          <w:sz w:val="24"/>
          <w:szCs w:val="24"/>
          <w:lang w:val="en-US" w:eastAsia="zh-CN"/>
        </w:rPr>
        <w:t>m</w:t>
      </w:r>
      <w:r>
        <w:rPr>
          <w:rFonts w:hint="eastAsia" w:ascii="宋体" w:hAnsi="宋体" w:cs="宋体"/>
          <w:color w:val="auto"/>
          <w:sz w:val="24"/>
          <w:szCs w:val="24"/>
        </w:rPr>
        <w:t>以上登梯高处作业，梯下无人看守等违规行为要严格管理及时纠正。</w:t>
      </w:r>
    </w:p>
    <w:p>
      <w:pPr>
        <w:pStyle w:val="5"/>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负责组织对展览期间的安全检查巡视工作，确保展台的结构、电气等安全。</w:t>
      </w:r>
    </w:p>
    <w:p>
      <w:pPr>
        <w:pStyle w:val="5"/>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负责对展览展台拆卸结构材料及装饰材料（木条、涂料桶、宝丽布、一次性展台内展毯）等清运过程中的监督管理工作，确保撤展期间的各项工作安全整洁有序，严禁野蛮拆卸。</w:t>
      </w:r>
    </w:p>
    <w:p>
      <w:pPr>
        <w:pStyle w:val="5"/>
        <w:spacing w:line="360" w:lineRule="auto"/>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4" w:name="_Toc22419_WPSOffice_Level1"/>
      <w:r>
        <w:rPr>
          <w:rFonts w:hint="eastAsia" w:ascii="宋体" w:hAnsi="宋体" w:cs="宋体"/>
          <w:b/>
          <w:color w:val="auto"/>
          <w:sz w:val="24"/>
          <w:szCs w:val="24"/>
        </w:rPr>
        <w:t>施工人员要求</w:t>
      </w:r>
      <w:bookmarkEnd w:id="4"/>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施工人员进场施工必须正确佩戴安全帽，并做好必要的安全防护措施。</w:t>
      </w:r>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施工人员必须持本人施工证进入施工现场。</w:t>
      </w:r>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施工人员酒后、身体不适时，严禁进入施工现场。</w:t>
      </w:r>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施工人员登梯2</w:t>
      </w:r>
      <w:r>
        <w:rPr>
          <w:rFonts w:hint="eastAsia" w:ascii="宋体" w:hAnsi="宋体" w:cs="宋体"/>
          <w:color w:val="auto"/>
          <w:sz w:val="24"/>
          <w:szCs w:val="24"/>
          <w:lang w:val="en-US" w:eastAsia="zh-CN"/>
        </w:rPr>
        <w:t>m</w:t>
      </w:r>
      <w:r>
        <w:rPr>
          <w:rFonts w:hint="eastAsia" w:ascii="宋体" w:hAnsi="宋体" w:cs="宋体"/>
          <w:color w:val="auto"/>
          <w:sz w:val="24"/>
          <w:szCs w:val="24"/>
        </w:rPr>
        <w:t>以上高处作业时，下方应有专人看护。</w:t>
      </w:r>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电工必须持证上岗（在有效期内）并配备必要的防护措施，方可施工作业。</w:t>
      </w:r>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高空作业时施工人员应持有高空作业证并配备安全防护用具，方可施工作业。</w:t>
      </w:r>
    </w:p>
    <w:p>
      <w:pPr>
        <w:pStyle w:val="5"/>
        <w:numPr>
          <w:ilvl w:val="0"/>
          <w:numId w:val="3"/>
        </w:numPr>
        <w:spacing w:line="360" w:lineRule="auto"/>
        <w:rPr>
          <w:rFonts w:hint="eastAsia" w:ascii="宋体" w:hAnsi="宋体" w:cs="宋体"/>
          <w:color w:val="auto"/>
          <w:sz w:val="24"/>
          <w:szCs w:val="24"/>
        </w:rPr>
      </w:pPr>
      <w:r>
        <w:rPr>
          <w:rFonts w:hint="eastAsia" w:ascii="宋体" w:hAnsi="宋体" w:cs="宋体"/>
          <w:color w:val="auto"/>
          <w:sz w:val="24"/>
          <w:szCs w:val="24"/>
        </w:rPr>
        <w:t>施工人员高空作业时，应佩戴安全帽及安全带等防护措施，作业时应采用高挂低用的方式，下方应有安全员监护，严禁无关人员进入工作区域内。</w:t>
      </w:r>
    </w:p>
    <w:p>
      <w:pPr>
        <w:pStyle w:val="5"/>
        <w:spacing w:line="360" w:lineRule="auto"/>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5" w:name="_Toc17421_WPSOffice_Level1"/>
      <w:r>
        <w:rPr>
          <w:rFonts w:hint="eastAsia" w:ascii="宋体" w:hAnsi="宋体" w:cs="宋体"/>
          <w:b/>
          <w:color w:val="auto"/>
          <w:sz w:val="24"/>
          <w:szCs w:val="24"/>
        </w:rPr>
        <w:t>施工搭建要求</w:t>
      </w:r>
      <w:bookmarkEnd w:id="5"/>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会议区进场搭建运送货物时，应从C23入口进入，只允许使用货梯，严禁使用客用电梯及客用扶梯。</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施工单位运送货物进入时，应对厅室大门做好保护措施，避免对门体造成磕碰损伤。</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进场前要在厅室内铺好地毯或者塑料膜再放搭建材料，如搭建舞台，所有结构着地面必须先铺地膜再铺一层不少于10mm厚的木板。</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宴会厅、会议室，进行展览搭建时，整个厅室内要先铺一层塑料膜，再铺两层（每层不少于18mm 厚）木板方后可搭建；</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施工单位进场施工应配备相应灭火器，严格按照报备展台图纸进行施工，搭建面积不得超出展台范围。</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遇到场馆固定设施时（如立柱等），施工单位应实测实量后再做规划。</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所有临建设施（展台）搭建不得超过场馆限定高度：</w:t>
      </w:r>
    </w:p>
    <w:tbl>
      <w:tblPr>
        <w:tblStyle w:val="4"/>
        <w:tblW w:w="98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5"/>
        <w:gridCol w:w="4471"/>
        <w:gridCol w:w="3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区域</w:t>
            </w:r>
          </w:p>
        </w:tc>
        <w:tc>
          <w:tcPr>
            <w:tcW w:w="4471" w:type="dxa"/>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厅室</w:t>
            </w:r>
          </w:p>
        </w:tc>
        <w:tc>
          <w:tcPr>
            <w:tcW w:w="3023" w:type="dxa"/>
            <w:noWrap w:val="0"/>
            <w:vAlign w:val="center"/>
          </w:tcPr>
          <w:p>
            <w:pPr>
              <w:spacing w:line="360" w:lineRule="auto"/>
              <w:jc w:val="center"/>
              <w:rPr>
                <w:rFonts w:ascii="宋体" w:hAnsi="宋体"/>
                <w:b/>
                <w:color w:val="auto"/>
                <w:sz w:val="24"/>
                <w:szCs w:val="24"/>
              </w:rPr>
            </w:pPr>
            <w:r>
              <w:rPr>
                <w:rFonts w:hint="eastAsia" w:ascii="宋体" w:hAnsi="宋体"/>
                <w:b/>
                <w:color w:val="auto"/>
                <w:sz w:val="24"/>
                <w:szCs w:val="24"/>
              </w:rPr>
              <w:t>搭建限高（m）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restart"/>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展</w:t>
            </w:r>
            <w:r>
              <w:rPr>
                <w:rFonts w:hint="eastAsia" w:ascii="宋体" w:hAnsi="宋体"/>
                <w:color w:val="auto"/>
                <w:sz w:val="24"/>
                <w:szCs w:val="24"/>
                <w:lang w:val="en-US" w:eastAsia="zh-CN"/>
              </w:rPr>
              <w:t>览</w:t>
            </w:r>
            <w:r>
              <w:rPr>
                <w:rFonts w:hint="eastAsia" w:ascii="宋体" w:hAnsi="宋体"/>
                <w:color w:val="auto"/>
                <w:sz w:val="24"/>
                <w:szCs w:val="24"/>
              </w:rPr>
              <w:t>区</w:t>
            </w: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lang w:val="en-US" w:eastAsia="zh-CN"/>
              </w:rPr>
              <w:t>展览区</w:t>
            </w:r>
            <w:r>
              <w:rPr>
                <w:rFonts w:hint="eastAsia" w:ascii="宋体" w:hAnsi="宋体"/>
                <w:color w:val="auto"/>
                <w:sz w:val="24"/>
                <w:szCs w:val="24"/>
              </w:rPr>
              <w:t>展厅A/B</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hint="eastAsia" w:ascii="宋体" w:hAnsi="宋体"/>
                <w:color w:val="auto"/>
                <w:sz w:val="24"/>
                <w:szCs w:val="24"/>
              </w:rPr>
            </w:pPr>
          </w:p>
        </w:tc>
        <w:tc>
          <w:tcPr>
            <w:tcW w:w="4471" w:type="dxa"/>
            <w:noWrap w:val="0"/>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登录厅</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hint="eastAsia" w:ascii="宋体" w:hAnsi="宋体"/>
                <w:color w:val="auto"/>
                <w:sz w:val="24"/>
                <w:szCs w:val="24"/>
              </w:rPr>
            </w:pPr>
          </w:p>
        </w:tc>
        <w:tc>
          <w:tcPr>
            <w:tcW w:w="4471" w:type="dxa"/>
            <w:noWrap w:val="0"/>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展</w:t>
            </w:r>
            <w:r>
              <w:rPr>
                <w:rFonts w:hint="eastAsia" w:ascii="宋体" w:hAnsi="宋体"/>
                <w:color w:val="auto"/>
                <w:sz w:val="24"/>
                <w:szCs w:val="24"/>
                <w:lang w:val="en-US" w:eastAsia="zh-CN"/>
              </w:rPr>
              <w:t>览</w:t>
            </w:r>
            <w:r>
              <w:rPr>
                <w:rFonts w:hint="eastAsia" w:ascii="宋体" w:hAnsi="宋体"/>
                <w:color w:val="auto"/>
                <w:sz w:val="24"/>
                <w:szCs w:val="24"/>
              </w:rPr>
              <w:t>区会议室</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restart"/>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会议区一层</w:t>
            </w:r>
          </w:p>
        </w:tc>
        <w:tc>
          <w:tcPr>
            <w:tcW w:w="4471" w:type="dxa"/>
            <w:noWrap w:val="0"/>
            <w:vAlign w:val="center"/>
          </w:tcPr>
          <w:p>
            <w:pPr>
              <w:spacing w:line="360" w:lineRule="auto"/>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登录厅</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ascii="宋体" w:hAnsi="宋体"/>
                <w:color w:val="auto"/>
                <w:sz w:val="24"/>
                <w:szCs w:val="24"/>
              </w:rPr>
            </w:pP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lang w:val="en-US" w:eastAsia="zh-CN"/>
              </w:rPr>
              <w:t>国际</w:t>
            </w:r>
            <w:r>
              <w:rPr>
                <w:rFonts w:hint="eastAsia" w:ascii="宋体" w:hAnsi="宋体"/>
                <w:color w:val="auto"/>
                <w:sz w:val="24"/>
                <w:szCs w:val="24"/>
              </w:rPr>
              <w:t>厅A/B</w:t>
            </w:r>
          </w:p>
        </w:tc>
        <w:tc>
          <w:tcPr>
            <w:tcW w:w="3023" w:type="dxa"/>
            <w:noWrap w:val="0"/>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ascii="宋体" w:hAnsi="宋体"/>
                <w:color w:val="auto"/>
                <w:sz w:val="24"/>
                <w:szCs w:val="24"/>
              </w:rPr>
            </w:pP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国际厅南序厅</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ascii="宋体" w:hAnsi="宋体"/>
                <w:color w:val="auto"/>
                <w:sz w:val="24"/>
                <w:szCs w:val="24"/>
              </w:rPr>
            </w:pP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会议室</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restart"/>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会议区二层</w:t>
            </w:r>
          </w:p>
        </w:tc>
        <w:tc>
          <w:tcPr>
            <w:tcW w:w="4471" w:type="dxa"/>
            <w:noWrap w:val="0"/>
            <w:vAlign w:val="center"/>
          </w:tcPr>
          <w:p>
            <w:pPr>
              <w:spacing w:line="360" w:lineRule="auto"/>
              <w:jc w:val="center"/>
              <w:rPr>
                <w:rFonts w:hint="eastAsia" w:ascii="宋体" w:hAnsi="宋体"/>
                <w:color w:val="auto"/>
                <w:sz w:val="24"/>
                <w:szCs w:val="24"/>
              </w:rPr>
            </w:pPr>
            <w:r>
              <w:rPr>
                <w:rFonts w:hint="eastAsia" w:ascii="宋体" w:hAnsi="宋体"/>
                <w:color w:val="auto"/>
                <w:sz w:val="24"/>
                <w:szCs w:val="24"/>
              </w:rPr>
              <w:t>宴会厅</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ascii="宋体" w:hAnsi="宋体"/>
                <w:color w:val="auto"/>
                <w:sz w:val="24"/>
                <w:szCs w:val="24"/>
              </w:rPr>
            </w:pP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新闻发布厅</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ascii="宋体" w:hAnsi="宋体"/>
                <w:color w:val="auto"/>
                <w:sz w:val="24"/>
                <w:szCs w:val="24"/>
              </w:rPr>
            </w:pP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宴会厅序厅</w:t>
            </w:r>
          </w:p>
        </w:tc>
        <w:tc>
          <w:tcPr>
            <w:tcW w:w="3023" w:type="dxa"/>
            <w:noWrap w:val="0"/>
            <w:vAlign w:val="center"/>
          </w:tcPr>
          <w:p>
            <w:pPr>
              <w:spacing w:line="360" w:lineRule="auto"/>
              <w:jc w:val="center"/>
              <w:rPr>
                <w:rFonts w:ascii="宋体" w:hAnsi="宋体"/>
                <w:color w:val="auto"/>
                <w:sz w:val="24"/>
                <w:szCs w:val="24"/>
              </w:rPr>
            </w:pPr>
            <w:r>
              <w:rPr>
                <w:rFonts w:ascii="宋体" w:hAnsi="宋体"/>
                <w:color w:val="auto"/>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vMerge w:val="continue"/>
            <w:noWrap w:val="0"/>
            <w:vAlign w:val="center"/>
          </w:tcPr>
          <w:p>
            <w:pPr>
              <w:spacing w:line="360" w:lineRule="auto"/>
              <w:jc w:val="center"/>
              <w:rPr>
                <w:rFonts w:ascii="宋体" w:hAnsi="宋体"/>
                <w:color w:val="auto"/>
                <w:sz w:val="24"/>
                <w:szCs w:val="24"/>
              </w:rPr>
            </w:pP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会议室</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55"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会议区三层</w:t>
            </w:r>
          </w:p>
        </w:tc>
        <w:tc>
          <w:tcPr>
            <w:tcW w:w="4471"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会议室</w:t>
            </w:r>
          </w:p>
        </w:tc>
        <w:tc>
          <w:tcPr>
            <w:tcW w:w="3023" w:type="dxa"/>
            <w:noWrap w:val="0"/>
            <w:vAlign w:val="center"/>
          </w:tcPr>
          <w:p>
            <w:pPr>
              <w:spacing w:line="360" w:lineRule="auto"/>
              <w:jc w:val="center"/>
              <w:rPr>
                <w:rFonts w:ascii="宋体" w:hAnsi="宋体"/>
                <w:color w:val="auto"/>
                <w:sz w:val="24"/>
                <w:szCs w:val="24"/>
              </w:rPr>
            </w:pPr>
            <w:r>
              <w:rPr>
                <w:rFonts w:hint="eastAsia" w:ascii="宋体" w:hAnsi="宋体"/>
                <w:color w:val="auto"/>
                <w:sz w:val="24"/>
                <w:szCs w:val="24"/>
              </w:rPr>
              <w:t>2</w:t>
            </w:r>
          </w:p>
        </w:tc>
      </w:tr>
    </w:tbl>
    <w:p>
      <w:pPr>
        <w:pStyle w:val="5"/>
        <w:spacing w:line="360" w:lineRule="auto"/>
        <w:rPr>
          <w:rFonts w:hint="eastAsia" w:ascii="宋体" w:hAnsi="宋体" w:cs="宋体"/>
          <w:color w:val="auto"/>
          <w:sz w:val="24"/>
          <w:szCs w:val="24"/>
        </w:rPr>
      </w:pPr>
      <w:r>
        <w:rPr>
          <w:rFonts w:hint="eastAsia" w:ascii="宋体" w:hAnsi="宋体" w:cs="宋体"/>
          <w:color w:val="auto"/>
          <w:sz w:val="24"/>
          <w:szCs w:val="24"/>
        </w:rPr>
        <w:t>说明：精品展厅、宴会厅展台限高4.5</w:t>
      </w:r>
      <w:r>
        <w:rPr>
          <w:rFonts w:hint="eastAsia" w:ascii="宋体" w:hAnsi="宋体" w:cs="宋体"/>
          <w:color w:val="auto"/>
          <w:sz w:val="24"/>
          <w:szCs w:val="24"/>
          <w:lang w:val="en-US" w:eastAsia="zh-CN"/>
        </w:rPr>
        <w:t>m</w:t>
      </w:r>
      <w:r>
        <w:rPr>
          <w:rFonts w:hint="eastAsia" w:ascii="宋体" w:hAnsi="宋体" w:cs="宋体"/>
          <w:color w:val="auto"/>
          <w:sz w:val="24"/>
          <w:szCs w:val="24"/>
        </w:rPr>
        <w:t>，会议搭建限高</w:t>
      </w:r>
      <w:r>
        <w:rPr>
          <w:rFonts w:ascii="宋体" w:hAnsi="宋体" w:cs="宋体"/>
          <w:color w:val="auto"/>
          <w:sz w:val="24"/>
          <w:szCs w:val="24"/>
        </w:rPr>
        <w:t>7</w:t>
      </w:r>
      <w:r>
        <w:rPr>
          <w:rFonts w:hint="eastAsia" w:ascii="宋体" w:hAnsi="宋体" w:cs="宋体"/>
          <w:color w:val="auto"/>
          <w:sz w:val="24"/>
          <w:szCs w:val="24"/>
          <w:lang w:val="en-US" w:eastAsia="zh-CN"/>
        </w:rPr>
        <w:t>m</w:t>
      </w:r>
      <w:r>
        <w:rPr>
          <w:rFonts w:hint="eastAsia" w:ascii="宋体" w:hAnsi="宋体" w:cs="宋体"/>
          <w:color w:val="auto"/>
          <w:sz w:val="24"/>
          <w:szCs w:val="24"/>
        </w:rPr>
        <w:t xml:space="preserve"> </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搭建材料应选用环保型。</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公共区域搭建结构的裸露部分，应使用防火材质进行遮挡。</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在玻璃围栏处悬挂吊旗时，严禁将吊挂物直接捆绑在金属栏杆上，须参考下图形式进行吊挂</w:t>
      </w:r>
    </w:p>
    <w:p>
      <w:pPr>
        <w:pStyle w:val="5"/>
        <w:spacing w:line="360" w:lineRule="auto"/>
        <w:rPr>
          <w:rFonts w:hint="eastAsia" w:ascii="宋体" w:hAnsi="宋体" w:cs="宋体"/>
          <w:color w:val="auto"/>
          <w:sz w:val="24"/>
          <w:szCs w:val="24"/>
        </w:rPr>
      </w:pPr>
      <w:r>
        <w:rPr>
          <w:rFonts w:hint="eastAsia" w:ascii="宋体" w:hAnsi="宋体" w:cs="宋体"/>
          <w:color w:val="auto"/>
          <w:sz w:val="24"/>
          <w:szCs w:val="24"/>
        </w:rPr>
        <w:t xml:space="preserve">                                                                                                                                                                                                                                                                     </w:t>
      </w:r>
    </w:p>
    <w:p>
      <w:pPr>
        <w:pStyle w:val="5"/>
        <w:spacing w:line="360" w:lineRule="auto"/>
        <w:rPr>
          <w:rFonts w:hint="eastAsia" w:ascii="宋体" w:hAnsi="宋体" w:cs="宋体"/>
          <w:color w:val="auto"/>
          <w:sz w:val="24"/>
          <w:szCs w:val="24"/>
        </w:rPr>
      </w:pPr>
      <w:r>
        <w:rPr>
          <w:rFonts w:hint="eastAsia" w:ascii="宋体" w:hAnsi="宋体" w:cs="宋体"/>
          <w:color w:val="auto"/>
          <w:sz w:val="24"/>
          <w:szCs w:val="24"/>
        </w:rPr>
        <w:drawing>
          <wp:inline distT="0" distB="0" distL="114300" distR="114300">
            <wp:extent cx="2391410" cy="1276350"/>
            <wp:effectExtent l="0" t="0" r="8890" b="0"/>
            <wp:docPr id="2" name="图片 1" descr="1562145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562145497(1)"/>
                    <pic:cNvPicPr>
                      <a:picLocks noChangeAspect="1"/>
                    </pic:cNvPicPr>
                  </pic:nvPicPr>
                  <pic:blipFill>
                    <a:blip r:embed="rId4"/>
                    <a:stretch>
                      <a:fillRect/>
                    </a:stretch>
                  </pic:blipFill>
                  <pic:spPr>
                    <a:xfrm>
                      <a:off x="0" y="0"/>
                      <a:ext cx="2391410" cy="1276350"/>
                    </a:xfrm>
                    <a:prstGeom prst="rect">
                      <a:avLst/>
                    </a:prstGeom>
                    <a:noFill/>
                    <a:ln w="9525">
                      <a:noFill/>
                    </a:ln>
                  </pic:spPr>
                </pic:pic>
              </a:graphicData>
            </a:graphic>
          </wp:inline>
        </w:drawing>
      </w:r>
      <w:r>
        <w:rPr>
          <w:rFonts w:hint="eastAsia" w:ascii="宋体" w:hAnsi="宋体" w:cs="宋体"/>
          <w:snapToGrid w:val="0"/>
          <w:color w:val="auto"/>
          <w:w w:val="0"/>
          <w:sz w:val="24"/>
          <w:szCs w:val="24"/>
          <w:u w:val="none" w:color="000000"/>
          <w:shd w:val="clear" w:color="000000" w:fill="000000"/>
        </w:rPr>
        <w:t xml:space="preserve"> </w:t>
      </w:r>
      <w:r>
        <w:rPr>
          <w:rFonts w:hint="eastAsia" w:ascii="宋体" w:hAnsi="宋体" w:cs="宋体"/>
          <w:color w:val="auto"/>
          <w:sz w:val="24"/>
          <w:szCs w:val="24"/>
        </w:rPr>
        <w:drawing>
          <wp:inline distT="0" distB="0" distL="114300" distR="114300">
            <wp:extent cx="2353310" cy="1247775"/>
            <wp:effectExtent l="0" t="0" r="8890" b="9525"/>
            <wp:docPr id="1" name="图片 2" descr="1562145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62145506(1)"/>
                    <pic:cNvPicPr>
                      <a:picLocks noChangeAspect="1"/>
                    </pic:cNvPicPr>
                  </pic:nvPicPr>
                  <pic:blipFill>
                    <a:blip r:embed="rId5"/>
                    <a:stretch>
                      <a:fillRect/>
                    </a:stretch>
                  </pic:blipFill>
                  <pic:spPr>
                    <a:xfrm>
                      <a:off x="0" y="0"/>
                      <a:ext cx="2353310" cy="1247775"/>
                    </a:xfrm>
                    <a:prstGeom prst="rect">
                      <a:avLst/>
                    </a:prstGeom>
                    <a:noFill/>
                    <a:ln w="9525">
                      <a:noFill/>
                    </a:ln>
                  </pic:spPr>
                </pic:pic>
              </a:graphicData>
            </a:graphic>
          </wp:inline>
        </w:drawing>
      </w:r>
    </w:p>
    <w:p>
      <w:pPr>
        <w:pStyle w:val="6"/>
        <w:numPr>
          <w:ilvl w:val="0"/>
          <w:numId w:val="4"/>
        </w:numPr>
        <w:spacing w:line="360" w:lineRule="auto"/>
        <w:ind w:firstLineChars="0"/>
        <w:rPr>
          <w:rFonts w:hint="eastAsia" w:ascii="宋体" w:hAnsi="宋体" w:cs="宋体"/>
          <w:color w:val="auto"/>
          <w:sz w:val="24"/>
          <w:szCs w:val="24"/>
        </w:rPr>
      </w:pPr>
      <w:r>
        <w:rPr>
          <w:rFonts w:hint="eastAsia" w:ascii="宋体" w:hAnsi="宋体" w:cs="宋体"/>
          <w:color w:val="auto"/>
          <w:sz w:val="24"/>
          <w:szCs w:val="24"/>
        </w:rPr>
        <w:t>施工单位应在工厂完成展台结构制作及涂料喷刷，搭建现场禁止实施展台结构的加工制作，严禁在场馆内刮腻子、打磨、喷漆，场馆内只可进行结构拼装和美工作业。</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搭建木结构展台跨度超过6m时，应至少有一个直径≥100mm且壁厚≥5mm的有效支撑柱，并加法兰盘和底盘。</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使用玻璃材料装饰展台应采用厚度不小于8mm的钢化玻璃，大面积使用时应贴明显的安全提示标识。</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特装展台不得超过限定高度，在喷淋设备喷头、烟感等场馆设施下方须保持50</w:t>
      </w:r>
      <w:r>
        <w:rPr>
          <w:rFonts w:hint="eastAsia" w:ascii="宋体" w:hAnsi="宋体" w:cs="宋体"/>
          <w:color w:val="auto"/>
          <w:sz w:val="24"/>
          <w:szCs w:val="24"/>
          <w:lang w:val="en-US" w:eastAsia="zh-CN"/>
        </w:rPr>
        <w:t>cm</w:t>
      </w:r>
      <w:r>
        <w:rPr>
          <w:rFonts w:hint="eastAsia" w:ascii="宋体" w:hAnsi="宋体" w:cs="宋体"/>
          <w:color w:val="auto"/>
          <w:sz w:val="24"/>
          <w:szCs w:val="24"/>
        </w:rPr>
        <w:t>的净空。室外搭建展台限制高度4</w:t>
      </w:r>
      <w:r>
        <w:rPr>
          <w:rFonts w:hint="eastAsia" w:ascii="宋体" w:hAnsi="宋体" w:cs="宋体"/>
          <w:color w:val="auto"/>
          <w:sz w:val="24"/>
          <w:szCs w:val="24"/>
          <w:lang w:val="en-US" w:eastAsia="zh-CN"/>
        </w:rPr>
        <w:t>m</w:t>
      </w:r>
      <w:r>
        <w:rPr>
          <w:rFonts w:hint="eastAsia" w:ascii="宋体" w:hAnsi="宋体" w:cs="宋体"/>
          <w:color w:val="auto"/>
          <w:sz w:val="24"/>
          <w:szCs w:val="24"/>
        </w:rPr>
        <w:t>，超过4</w:t>
      </w:r>
      <w:r>
        <w:rPr>
          <w:rFonts w:hint="eastAsia" w:ascii="宋体" w:hAnsi="宋体" w:cs="宋体"/>
          <w:color w:val="auto"/>
          <w:sz w:val="24"/>
          <w:szCs w:val="24"/>
          <w:lang w:val="en-US" w:eastAsia="zh-CN"/>
        </w:rPr>
        <w:t>m</w:t>
      </w:r>
      <w:r>
        <w:rPr>
          <w:rFonts w:hint="eastAsia" w:ascii="宋体" w:hAnsi="宋体" w:cs="宋体"/>
          <w:color w:val="auto"/>
          <w:sz w:val="24"/>
          <w:szCs w:val="24"/>
        </w:rPr>
        <w:t>的展台或搭建双层展台须提供展台细部结构图并加盖有相关资质设计院审核章和国家一级注册结构工程师印章及审核报告，并做好防风措施，确保展台结构的强度、刚度、稳定性以及局部稳定性。</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施工单位在施工过程中，展台搭建材料不应超出展台范围1m，应随时清理各类废弃物品，保证馆内消防通道畅通。</w:t>
      </w:r>
    </w:p>
    <w:p>
      <w:pPr>
        <w:pStyle w:val="6"/>
        <w:numPr>
          <w:ilvl w:val="0"/>
          <w:numId w:val="4"/>
        </w:numPr>
        <w:spacing w:line="360" w:lineRule="auto"/>
        <w:ind w:firstLineChars="0"/>
        <w:rPr>
          <w:rFonts w:hint="eastAsia" w:ascii="宋体" w:hAnsi="宋体" w:cs="宋体"/>
          <w:color w:val="auto"/>
          <w:sz w:val="24"/>
          <w:szCs w:val="24"/>
        </w:rPr>
      </w:pPr>
      <w:r>
        <w:rPr>
          <w:rFonts w:hint="eastAsia" w:ascii="宋体" w:hAnsi="宋体" w:cs="宋体"/>
          <w:color w:val="auto"/>
          <w:sz w:val="24"/>
          <w:szCs w:val="24"/>
        </w:rPr>
        <w:t>馆内严禁搭建临时仓库存放展台材料、施工工具等。</w:t>
      </w:r>
    </w:p>
    <w:p>
      <w:pPr>
        <w:pStyle w:val="6"/>
        <w:numPr>
          <w:ilvl w:val="0"/>
          <w:numId w:val="4"/>
        </w:numPr>
        <w:spacing w:line="360" w:lineRule="auto"/>
        <w:ind w:firstLineChars="0"/>
        <w:rPr>
          <w:rFonts w:hint="eastAsia" w:ascii="宋体" w:hAnsi="宋体" w:cs="宋体"/>
          <w:color w:val="auto"/>
          <w:sz w:val="24"/>
          <w:szCs w:val="24"/>
        </w:rPr>
      </w:pPr>
      <w:r>
        <w:rPr>
          <w:rFonts w:hint="eastAsia" w:ascii="宋体" w:hAnsi="宋体" w:cs="宋体"/>
          <w:color w:val="auto"/>
          <w:sz w:val="24"/>
          <w:szCs w:val="24"/>
        </w:rPr>
        <w:t>室外不得搭建迎风向背板、广告位等临建设施。</w:t>
      </w:r>
    </w:p>
    <w:p>
      <w:pPr>
        <w:pStyle w:val="6"/>
        <w:numPr>
          <w:ilvl w:val="0"/>
          <w:numId w:val="4"/>
        </w:numPr>
        <w:spacing w:line="360" w:lineRule="auto"/>
        <w:ind w:firstLineChars="0"/>
        <w:rPr>
          <w:rFonts w:hint="eastAsia" w:ascii="宋体" w:hAnsi="宋体" w:cs="宋体"/>
          <w:color w:val="auto"/>
          <w:sz w:val="24"/>
          <w:szCs w:val="24"/>
        </w:rPr>
      </w:pPr>
      <w:r>
        <w:rPr>
          <w:rFonts w:hint="eastAsia" w:ascii="宋体" w:hAnsi="宋体" w:cs="宋体"/>
          <w:color w:val="auto"/>
          <w:sz w:val="24"/>
          <w:szCs w:val="24"/>
        </w:rPr>
        <w:t>室外搭建门头、广告位等大会设施时，应建立天气预报预警机制，充分考虑气候变化可能造成的影响（如刮风、下雨雪等自然现象），并做好相应防护措施，消灭安全隐患。</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室外遇恶劣天气，如：五级以上大风时，应禁止施工作业及室外装卸货物等危险操作行为，并提前做好防风措施，确保人员及物品的安全。</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 xml:space="preserve">施工单位应按展览规定时间进行撤展，在撤展前应确保关闭展台电源，严禁带电施工。 </w:t>
      </w:r>
    </w:p>
    <w:p>
      <w:pPr>
        <w:pStyle w:val="6"/>
        <w:numPr>
          <w:ilvl w:val="0"/>
          <w:numId w:val="4"/>
        </w:numPr>
        <w:spacing w:line="360" w:lineRule="auto"/>
        <w:ind w:firstLineChars="0"/>
        <w:rPr>
          <w:rFonts w:hint="eastAsia" w:ascii="宋体" w:hAnsi="宋体" w:cs="宋体"/>
          <w:color w:val="auto"/>
          <w:sz w:val="24"/>
          <w:szCs w:val="24"/>
        </w:rPr>
      </w:pPr>
      <w:r>
        <w:rPr>
          <w:rFonts w:hint="eastAsia" w:ascii="宋体" w:hAnsi="宋体" w:cs="宋体"/>
          <w:color w:val="auto"/>
          <w:sz w:val="24"/>
          <w:szCs w:val="24"/>
        </w:rPr>
        <w:t>撤展时主场应配备相应工作人员，进行现场安全疏导，确保文明施工，严禁将搭建展台整体推倒、拉倒等不规范施工行为。</w:t>
      </w:r>
    </w:p>
    <w:p>
      <w:pPr>
        <w:pStyle w:val="5"/>
        <w:numPr>
          <w:ilvl w:val="0"/>
          <w:numId w:val="4"/>
        </w:numPr>
        <w:spacing w:line="360" w:lineRule="auto"/>
        <w:rPr>
          <w:rFonts w:hint="eastAsia" w:ascii="宋体" w:hAnsi="宋体" w:cs="宋体"/>
          <w:color w:val="auto"/>
          <w:sz w:val="24"/>
          <w:szCs w:val="24"/>
        </w:rPr>
      </w:pPr>
      <w:r>
        <w:rPr>
          <w:rFonts w:hint="eastAsia" w:ascii="宋体" w:hAnsi="宋体" w:cs="宋体"/>
          <w:color w:val="auto"/>
          <w:sz w:val="24"/>
          <w:szCs w:val="24"/>
        </w:rPr>
        <w:t>撤展时，施工单位应将所有搭建材料全部撤出场馆并清运干净，不得遗留在后货场及场馆外围区域。</w:t>
      </w:r>
    </w:p>
    <w:p>
      <w:pPr>
        <w:pStyle w:val="6"/>
        <w:numPr>
          <w:ilvl w:val="0"/>
          <w:numId w:val="4"/>
        </w:numPr>
        <w:spacing w:line="360" w:lineRule="auto"/>
        <w:ind w:firstLineChars="0"/>
        <w:rPr>
          <w:rFonts w:hint="eastAsia" w:ascii="宋体" w:hAnsi="宋体" w:cs="宋体"/>
          <w:color w:val="auto"/>
          <w:sz w:val="24"/>
          <w:szCs w:val="24"/>
        </w:rPr>
      </w:pPr>
      <w:r>
        <w:rPr>
          <w:rFonts w:hint="eastAsia" w:ascii="宋体" w:hAnsi="宋体" w:cs="宋体"/>
          <w:color w:val="auto"/>
          <w:sz w:val="24"/>
          <w:szCs w:val="24"/>
        </w:rPr>
        <w:t>撤展完毕后，施工单位应申请验馆，经场馆方检查确认合格后方可离场。</w:t>
      </w:r>
    </w:p>
    <w:p>
      <w:pPr>
        <w:pStyle w:val="6"/>
        <w:spacing w:line="360" w:lineRule="auto"/>
        <w:ind w:firstLine="0" w:firstLineChars="0"/>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6" w:name="_Toc32689_WPSOffice_Level1"/>
      <w:r>
        <w:rPr>
          <w:rFonts w:hint="eastAsia" w:ascii="宋体" w:hAnsi="宋体" w:cs="宋体"/>
          <w:b/>
          <w:color w:val="auto"/>
          <w:sz w:val="24"/>
          <w:szCs w:val="24"/>
        </w:rPr>
        <w:t>消防安全要求</w:t>
      </w:r>
      <w:bookmarkEnd w:id="6"/>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场馆建筑内严禁吸烟，严禁明火作业，严禁使用油漆、稀料、汽油以及压力容器等易燃、易爆危险物品。</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展览活动主通道宽度应不小于5m，辅通道宽度应不小于3m，严禁任何单位和个人以任何方式占用、遮挡消防疏散通道及出入口。</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所有临建设施（展台）不得遮挡场馆安全疏散门、消防栓、防火卷帘、配电间、卫生间等场馆基础设施。</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所有临建设施（展台）应配备年检合格的灭火器，严格按照消防安全的规定，施工期间每个展台必须按照每30㎡1具、每50㎡2具的标准配备合格有效的5</w:t>
      </w:r>
      <w:r>
        <w:rPr>
          <w:rFonts w:hint="eastAsia" w:ascii="宋体" w:hAnsi="宋体" w:cs="宋体"/>
          <w:color w:val="auto"/>
          <w:sz w:val="24"/>
          <w:szCs w:val="24"/>
          <w:lang w:val="en-US" w:eastAsia="zh-CN"/>
        </w:rPr>
        <w:t>kg</w:t>
      </w:r>
      <w:r>
        <w:rPr>
          <w:rFonts w:hint="eastAsia" w:ascii="宋体" w:hAnsi="宋体" w:cs="宋体"/>
          <w:color w:val="auto"/>
          <w:sz w:val="24"/>
          <w:szCs w:val="24"/>
        </w:rPr>
        <w:t>灭火器。</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所有临建设施（展台）搭建装饰材料应达到国家B1级以上防火标准，严禁使用弹力布和针棉织品等易燃材料做装饰。</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所有临建设施（展台）木质结构及灯箱内应在进场前喷刷防火涂料，灯箱应留有散热孔。</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所有临建设施（展台）、储物间、房间等严禁采用全封闭式顶棚，应至少留有50%的开放面积。</w:t>
      </w:r>
    </w:p>
    <w:p>
      <w:pPr>
        <w:pStyle w:val="5"/>
        <w:numPr>
          <w:ilvl w:val="0"/>
          <w:numId w:val="5"/>
        </w:numPr>
        <w:spacing w:line="360" w:lineRule="auto"/>
        <w:rPr>
          <w:rFonts w:hint="eastAsia" w:ascii="宋体" w:hAnsi="宋体" w:cs="宋体"/>
          <w:color w:val="auto"/>
          <w:sz w:val="24"/>
          <w:szCs w:val="24"/>
        </w:rPr>
      </w:pPr>
      <w:r>
        <w:rPr>
          <w:rFonts w:hint="eastAsia" w:ascii="宋体" w:hAnsi="宋体" w:cs="宋体"/>
          <w:color w:val="auto"/>
          <w:sz w:val="24"/>
          <w:szCs w:val="24"/>
        </w:rPr>
        <w:t>馆内搭建二层或结构复杂的展台以及搭建馆外展台时须提供展台细部结构图并加盖有相关资质设计院审核章和国家一级注册结构工程师印章及审核报告。从设计到施工应充分考虑展台的安全性，确保搭建展台各连接点及展台整体结构的牢固性。二层面积须小于整个展位面积的1/3，</w:t>
      </w:r>
      <w:bookmarkStart w:id="7" w:name="_Hlk16753303"/>
      <w:r>
        <w:rPr>
          <w:rFonts w:hint="eastAsia" w:ascii="宋体" w:hAnsi="宋体" w:cs="宋体"/>
          <w:color w:val="auto"/>
          <w:sz w:val="24"/>
          <w:szCs w:val="24"/>
        </w:rPr>
        <w:t>严禁二层封顶，</w:t>
      </w:r>
      <w:bookmarkEnd w:id="7"/>
      <w:r>
        <w:rPr>
          <w:rFonts w:hint="eastAsia" w:ascii="宋体" w:hAnsi="宋体" w:cs="宋体"/>
          <w:color w:val="auto"/>
          <w:sz w:val="24"/>
          <w:szCs w:val="24"/>
        </w:rPr>
        <w:t>超过50</w:t>
      </w:r>
      <w:r>
        <w:rPr>
          <w:rFonts w:hint="eastAsia" w:ascii="宋体" w:hAnsi="宋体" w:cs="宋体"/>
          <w:color w:val="auto"/>
          <w:sz w:val="24"/>
          <w:szCs w:val="24"/>
          <w:lang w:val="en-US" w:eastAsia="zh-CN"/>
        </w:rPr>
        <w:t>㎡</w:t>
      </w:r>
      <w:r>
        <w:rPr>
          <w:rFonts w:hint="eastAsia" w:ascii="宋体" w:hAnsi="宋体" w:cs="宋体"/>
          <w:color w:val="auto"/>
          <w:sz w:val="24"/>
          <w:szCs w:val="24"/>
        </w:rPr>
        <w:t>以上需安装至少2个楼梯，严禁二层封顶。</w:t>
      </w:r>
    </w:p>
    <w:p>
      <w:pPr>
        <w:pStyle w:val="5"/>
        <w:spacing w:line="360" w:lineRule="auto"/>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8" w:name="_Toc32576_WPSOffice_Level1"/>
      <w:r>
        <w:rPr>
          <w:rFonts w:hint="eastAsia" w:ascii="宋体" w:hAnsi="宋体" w:cs="宋体"/>
          <w:b/>
          <w:color w:val="auto"/>
          <w:sz w:val="24"/>
          <w:szCs w:val="24"/>
        </w:rPr>
        <w:t>水电气要求</w:t>
      </w:r>
      <w:bookmarkEnd w:id="8"/>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场馆基础电源应为三相五线制。</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照明灯具及电器设施应符合国家安全标准和消防安全要求，并按照GB 19517-2009 国家电气设备安全技术规范施工作业。</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电源接驳应由专业电工操作，且必须持证上岗，禁止非专业人员操作。</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展台使用的水、气，应保留每天送断水、气的操作、检修口。</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展台应配备二级电箱，各部件齐全完整；所有电箱不得放置储物间及封闭空间内，须安装在展台明显位置，且距地不低于20cm。</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展台二级电箱总开关应有漏电保护且与申报规格相匹配，并做好接地保护。</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电器连接应使用双层绝缘护套线，连接端子应完全封闭，不得裸露。</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电线穿过地面时，应做过桥保护。</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镇流器等电器元件与木结构接触时，应采用非燃烧材料做隔热保护。</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室外安装灯具、插座、配电箱等用电设备应采取安全有效的防雨措施。</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开展期间各施工单位应安排专业电工值守，每天清馆前确保已关闭展台用电设施开关，切断电源后方可离场。</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严禁使用碘钨灯、高压汞灯等高温灯具。</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严禁使用电熨斗、电水壶等大功率电器。</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展览期间严禁使用空压机、储气罐等压力容器。如有特殊需求应提前申报，经场馆方许可并放置馆外指定位置，确保安全使用。</w:t>
      </w:r>
    </w:p>
    <w:p>
      <w:pPr>
        <w:pStyle w:val="5"/>
        <w:numPr>
          <w:ilvl w:val="0"/>
          <w:numId w:val="6"/>
        </w:numPr>
        <w:spacing w:line="360" w:lineRule="auto"/>
        <w:rPr>
          <w:rFonts w:hint="eastAsia" w:ascii="宋体" w:hAnsi="宋体" w:cs="宋体"/>
          <w:color w:val="auto"/>
          <w:sz w:val="24"/>
          <w:szCs w:val="24"/>
        </w:rPr>
      </w:pPr>
      <w:r>
        <w:rPr>
          <w:rFonts w:hint="eastAsia" w:ascii="宋体" w:hAnsi="宋体" w:cs="宋体"/>
          <w:color w:val="auto"/>
          <w:sz w:val="24"/>
          <w:szCs w:val="24"/>
        </w:rPr>
        <w:t>场馆提供的24小时供电，不能作为不间断电源使用；如有24小时用电需求，应留有值班人员看守。</w:t>
      </w:r>
    </w:p>
    <w:p>
      <w:pPr>
        <w:pStyle w:val="5"/>
        <w:spacing w:line="360" w:lineRule="auto"/>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9" w:name="_Toc2066_WPSOffice_Level1"/>
      <w:r>
        <w:rPr>
          <w:rFonts w:hint="eastAsia" w:ascii="宋体" w:hAnsi="宋体" w:cs="宋体"/>
          <w:b/>
          <w:color w:val="auto"/>
          <w:sz w:val="24"/>
          <w:szCs w:val="24"/>
        </w:rPr>
        <w:t>使用升降设备时应注意以下事项：</w:t>
      </w:r>
      <w:bookmarkEnd w:id="9"/>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施工单位使用升降机时应有专业人员进行操作。作业前应认真排查施工区域潜在的危险，经确认安全后方可开始施工作业。</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使用升降平台前操作人员应全面检查机器设备，确保升降架上下自如，螺丝牢固，钢丝绳无锈蚀、润滑良好。</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升降平台应置于平整地面，不允许在陡坡上使用。使用时，应打开稳定支架，检查支架稳固性，防止升降平台自行滑动。</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施工时升降平台顶部的工作人员应在工作斗内工作，并采取必要的人身保护措施，不得骑跨、站在防护栏上，严禁超出工作斗的额定载荷升降作业。</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升降平台顶部平台上不允许放置各种梯子或其他垫高物品，工作人员向外探身工作时，应保证双脚着地，否则应移动升降平台。</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升降平台升起时，应注意与架空电线保持规定的安全距离；升降平台工作人员上下传递工具或材料时，应使用绳子吊运严禁抛递工具和材料，平台上的工作人员应采取安全措施防止工具或材料高空坠落伤及他人。</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电动升降平台要保证接地良好，电源线的防护层要完整，铜线不得外露；电源线横穿通道时应做好防护措施。</w:t>
      </w:r>
    </w:p>
    <w:p>
      <w:pPr>
        <w:pStyle w:val="5"/>
        <w:numPr>
          <w:ilvl w:val="0"/>
          <w:numId w:val="7"/>
        </w:numPr>
        <w:spacing w:line="360" w:lineRule="auto"/>
        <w:rPr>
          <w:rFonts w:hint="eastAsia" w:ascii="宋体" w:hAnsi="宋体" w:cs="宋体"/>
          <w:color w:val="auto"/>
          <w:sz w:val="24"/>
          <w:szCs w:val="24"/>
        </w:rPr>
      </w:pPr>
      <w:r>
        <w:rPr>
          <w:rFonts w:hint="eastAsia" w:ascii="宋体" w:hAnsi="宋体" w:cs="宋体"/>
          <w:color w:val="auto"/>
          <w:sz w:val="24"/>
          <w:szCs w:val="24"/>
        </w:rPr>
        <w:t>雨天室外禁止使用电动升降平台。</w:t>
      </w:r>
    </w:p>
    <w:p>
      <w:pPr>
        <w:pStyle w:val="5"/>
        <w:spacing w:line="360" w:lineRule="auto"/>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10" w:name="_Toc14926_WPSOffice_Level1"/>
      <w:r>
        <w:rPr>
          <w:rFonts w:hint="eastAsia" w:ascii="宋体" w:hAnsi="宋体" w:cs="宋体"/>
          <w:b/>
          <w:color w:val="auto"/>
          <w:sz w:val="24"/>
          <w:szCs w:val="24"/>
        </w:rPr>
        <w:t>吊装安全规定</w:t>
      </w:r>
      <w:bookmarkEnd w:id="10"/>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操作人员必须经过专业安全技术培训，经考试合格后，持证上岗。</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吊装现场应设置警戒标志，并设专人监护。</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大雪、大雾、暴雨及六级以上大风时，不应露天作业。</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作业前，作业单位应对起重机械、索具、吊具、安全装置等进行检查，确保处于完好状态。</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应按规定负荷进行吊装，吊具、索具应经计算选择使用，不应超负荷吊装。</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不应利用管道、管架、电杆、机电设备等作吊装锚点。</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起吊前应进行试吊，试吊前检查全部机具、地锚受力情况，发现问题立即整改，确认正常后方可正式吊装。</w:t>
      </w:r>
    </w:p>
    <w:p>
      <w:pPr>
        <w:pStyle w:val="5"/>
        <w:numPr>
          <w:ilvl w:val="0"/>
          <w:numId w:val="8"/>
        </w:numPr>
        <w:spacing w:line="360" w:lineRule="auto"/>
        <w:rPr>
          <w:rFonts w:hint="eastAsia" w:ascii="宋体" w:hAnsi="宋体" w:cs="宋体"/>
          <w:color w:val="auto"/>
          <w:sz w:val="24"/>
          <w:szCs w:val="24"/>
        </w:rPr>
      </w:pPr>
      <w:r>
        <w:rPr>
          <w:rFonts w:hint="eastAsia" w:ascii="宋体" w:hAnsi="宋体" w:cs="宋体"/>
          <w:color w:val="auto"/>
          <w:sz w:val="24"/>
          <w:szCs w:val="24"/>
        </w:rPr>
        <w:t>指挥人员应佩戴明显的标志，并按联络信号进行指挥。起重机械操作人员、司索人员应遵守有关规定。</w:t>
      </w:r>
    </w:p>
    <w:p>
      <w:pPr>
        <w:pStyle w:val="5"/>
        <w:spacing w:line="360" w:lineRule="auto"/>
        <w:rPr>
          <w:rFonts w:hint="eastAsia" w:ascii="宋体" w:hAnsi="宋体" w:cs="宋体"/>
          <w:color w:val="auto"/>
          <w:sz w:val="24"/>
          <w:szCs w:val="24"/>
        </w:rPr>
      </w:pPr>
    </w:p>
    <w:p>
      <w:pPr>
        <w:pStyle w:val="5"/>
        <w:numPr>
          <w:ilvl w:val="0"/>
          <w:numId w:val="1"/>
        </w:numPr>
        <w:spacing w:line="360" w:lineRule="auto"/>
        <w:jc w:val="left"/>
        <w:outlineLvl w:val="0"/>
        <w:rPr>
          <w:rFonts w:hint="eastAsia" w:ascii="宋体" w:hAnsi="宋体" w:cs="宋体"/>
          <w:b/>
          <w:color w:val="auto"/>
          <w:sz w:val="24"/>
          <w:szCs w:val="24"/>
        </w:rPr>
      </w:pPr>
      <w:bookmarkStart w:id="11" w:name="_Toc21491_WPSOffice_Level1"/>
      <w:r>
        <w:rPr>
          <w:rFonts w:hint="eastAsia" w:ascii="宋体" w:hAnsi="宋体" w:cs="宋体"/>
          <w:b/>
          <w:color w:val="auto"/>
          <w:sz w:val="24"/>
          <w:szCs w:val="24"/>
        </w:rPr>
        <w:t>施工押金扣除标准</w:t>
      </w:r>
      <w:bookmarkEnd w:id="11"/>
    </w:p>
    <w:p>
      <w:pPr>
        <w:tabs>
          <w:tab w:val="center" w:pos="4932"/>
          <w:tab w:val="left" w:pos="7335"/>
        </w:tabs>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rPr>
        <w:t>任何施工单位及个人违反关于《南通国际会展中心施工安全规定》的规定，拒不执行场馆方提出的安全管理要求的，南通国际会展中心有权并依照以下标准扣除部分或全部施工押金，对于严重违反本手册安全规定拒不服从劝阻的单位和个人，南通国际会展中心有权作出强制撤场的处理决定。</w:t>
      </w:r>
    </w:p>
    <w:p>
      <w:pPr>
        <w:numPr>
          <w:ilvl w:val="0"/>
          <w:numId w:val="9"/>
        </w:numPr>
        <w:spacing w:line="360" w:lineRule="auto"/>
        <w:ind w:left="0" w:firstLine="0"/>
        <w:rPr>
          <w:rFonts w:hint="eastAsia" w:ascii="宋体" w:hAnsi="宋体" w:cs="宋体"/>
          <w:color w:val="auto"/>
          <w:sz w:val="24"/>
          <w:szCs w:val="24"/>
        </w:rPr>
      </w:pPr>
      <w:r>
        <w:rPr>
          <w:rFonts w:hint="eastAsia" w:ascii="宋体" w:hAnsi="宋体" w:cs="宋体"/>
          <w:color w:val="auto"/>
          <w:sz w:val="24"/>
          <w:szCs w:val="24"/>
        </w:rPr>
        <w:t>施工单位未按照规定要求配备合格有效的灭火器的，违者扣除施工押金500元。</w:t>
      </w:r>
    </w:p>
    <w:p>
      <w:pPr>
        <w:numPr>
          <w:ilvl w:val="0"/>
          <w:numId w:val="9"/>
        </w:numPr>
        <w:spacing w:line="360" w:lineRule="auto"/>
        <w:ind w:left="0" w:firstLine="0"/>
        <w:rPr>
          <w:rFonts w:hint="eastAsia" w:ascii="宋体" w:hAnsi="宋体" w:cs="宋体"/>
          <w:color w:val="auto"/>
          <w:sz w:val="24"/>
          <w:szCs w:val="24"/>
        </w:rPr>
      </w:pPr>
      <w:r>
        <w:rPr>
          <w:rFonts w:hint="eastAsia" w:ascii="宋体" w:hAnsi="宋体" w:cs="宋体"/>
          <w:color w:val="auto"/>
          <w:sz w:val="24"/>
          <w:szCs w:val="24"/>
        </w:rPr>
        <w:t>施工人员进场作业未带安全帽且不听劝阻的，违者将扣除施工押金200元/人/次。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施工人员登梯超过2</w:t>
      </w:r>
      <w:r>
        <w:rPr>
          <w:rFonts w:hint="eastAsia" w:ascii="宋体" w:hAnsi="宋体" w:cs="宋体"/>
          <w:color w:val="auto"/>
          <w:sz w:val="24"/>
          <w:szCs w:val="24"/>
          <w:lang w:val="en-US" w:eastAsia="zh-CN"/>
        </w:rPr>
        <w:t>m</w:t>
      </w:r>
      <w:r>
        <w:rPr>
          <w:rFonts w:hint="eastAsia" w:ascii="宋体" w:hAnsi="宋体" w:cs="宋体"/>
          <w:color w:val="auto"/>
          <w:sz w:val="24"/>
          <w:szCs w:val="24"/>
        </w:rPr>
        <w:t>（含）以上高处作业，梯下无人看守的，违者将扣除施工押金200元/人/次。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施工单位高空作业人员无证操作，或由无证人员操作的，违者扣除施工押金2000元/人/次。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施工单位搭建材料占用消防通道不听劝阻，违者扣除施工押金500元/处/次。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施工单位展位电箱实际接驳的空开与申报规格不一致，拒不整改扣除施工押金2000元。</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施工单位应确保场馆电箱干净整洁，有涂料喷刷在电箱上，一次扣除200元/个。</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施工单位不得私自移位拆装场馆电箱，违者扣除施工押金2000元/处/次。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施工单位违规使用酒精、稀料、易燃品的，违者扣除施工押金500元/处/次。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施工单位违规使用砂轮机切割金属物品产生火花的，违者扣除施工押金500元/处/次。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施工单位撤展期间违规野蛮拆卸，整体推到或拉倒展台的，违者扣除施工押金2000元/处/次。</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施工单位不得将展台结构、装饰材料等废弃物遗留在馆内、后货场及场馆周围的，违者视情况扣除相应施工押金。</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施工期间，施工单位不听场馆劝阻，导致展台、门头、背板等结构倒塌，将扣除全部施工押金。</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施工单位违反本手册规定造成任何一方财产损失的，违者扣除施工押金10000元/次，并按照人身及财产损失情况扣除财产损失赔偿金。</w:t>
      </w:r>
    </w:p>
    <w:p>
      <w:pPr>
        <w:numPr>
          <w:ilvl w:val="0"/>
          <w:numId w:val="9"/>
        </w:numPr>
        <w:spacing w:line="360" w:lineRule="auto"/>
        <w:rPr>
          <w:rFonts w:hint="eastAsia" w:ascii="宋体" w:hAnsi="宋体" w:cs="宋体"/>
          <w:color w:val="auto"/>
          <w:sz w:val="24"/>
          <w:szCs w:val="24"/>
        </w:rPr>
      </w:pPr>
      <w:r>
        <w:rPr>
          <w:rFonts w:hint="eastAsia" w:ascii="宋体" w:hAnsi="宋体" w:cs="宋体"/>
          <w:color w:val="auto"/>
          <w:sz w:val="24"/>
          <w:szCs w:val="24"/>
        </w:rPr>
        <w:t>施工单位违反本手册规定造成任何一方人身伤亡的，违者扣除全部施工押金并按照相关法律法规追究违规者的法律责任。</w:t>
      </w:r>
    </w:p>
    <w:p>
      <w:pPr>
        <w:pStyle w:val="2"/>
        <w:tabs>
          <w:tab w:val="left" w:pos="90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施工单位在进馆施工、撤馆以及运输过程中因违反上述规定，所造成的人员伤亡、火灾及场馆建筑物设施损坏等一切安全责任事故，由施工单位负全部责任，并承担由此给南通国际会展中心造成的所有的名誉及经济损失。</w:t>
      </w:r>
    </w:p>
    <w:p>
      <w:pPr>
        <w:pStyle w:val="2"/>
        <w:tabs>
          <w:tab w:val="left" w:pos="90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施工单位应严格按照上述要求及相关规章制度进行施工，若有违反，则南通国际会展中心将视情节轻重扣除相应施工押金。</w:t>
      </w:r>
    </w:p>
    <w:p>
      <w:pPr>
        <w:pStyle w:val="5"/>
        <w:spacing w:line="360" w:lineRule="auto"/>
        <w:rPr>
          <w:rFonts w:hint="eastAsia" w:ascii="宋体" w:hAnsi="宋体" w:cs="宋体"/>
          <w:color w:val="auto"/>
          <w:sz w:val="24"/>
          <w:szCs w:val="24"/>
        </w:rPr>
      </w:pPr>
      <w:r>
        <w:rPr>
          <w:rFonts w:hint="eastAsia" w:ascii="宋体" w:hAnsi="宋体" w:cs="宋体"/>
          <w:color w:val="auto"/>
          <w:sz w:val="24"/>
          <w:szCs w:val="24"/>
        </w:rPr>
        <w:t>注：</w:t>
      </w:r>
      <w:r>
        <w:rPr>
          <w:rFonts w:hint="eastAsia" w:ascii="宋体" w:hAnsi="宋体" w:cs="宋体"/>
          <w:b/>
          <w:color w:val="auto"/>
          <w:sz w:val="24"/>
          <w:szCs w:val="24"/>
        </w:rPr>
        <w:t>1</w:t>
      </w:r>
      <w:r>
        <w:rPr>
          <w:rFonts w:hint="eastAsia" w:ascii="宋体" w:hAnsi="宋体" w:cs="宋体"/>
          <w:color w:val="auto"/>
          <w:sz w:val="24"/>
          <w:szCs w:val="24"/>
        </w:rPr>
        <w:t>.本协议未规定事项须按照国家及南通市有关法律、规范、规定执行。</w:t>
      </w:r>
    </w:p>
    <w:p>
      <w:pPr>
        <w:pStyle w:val="5"/>
        <w:spacing w:line="360" w:lineRule="auto"/>
        <w:ind w:firstLine="482" w:firstLineChars="200"/>
        <w:rPr>
          <w:rFonts w:hint="eastAsia" w:ascii="宋体" w:hAnsi="宋体" w:cs="宋体"/>
          <w:color w:val="auto"/>
          <w:sz w:val="24"/>
          <w:szCs w:val="24"/>
        </w:rPr>
      </w:pPr>
      <w:r>
        <w:rPr>
          <w:rFonts w:hint="eastAsia" w:ascii="宋体" w:hAnsi="宋体" w:cs="宋体"/>
          <w:b/>
          <w:color w:val="auto"/>
          <w:sz w:val="24"/>
          <w:szCs w:val="24"/>
        </w:rPr>
        <w:t>2.</w:t>
      </w:r>
      <w:r>
        <w:rPr>
          <w:rFonts w:hint="eastAsia" w:ascii="宋体" w:hAnsi="宋体" w:cs="宋体"/>
          <w:color w:val="auto"/>
          <w:sz w:val="24"/>
          <w:szCs w:val="24"/>
        </w:rPr>
        <w:t>遇现场公安、消防、安监等监管部门提出的安全要求，须严格遵照整改。</w:t>
      </w:r>
    </w:p>
    <w:p>
      <w:pPr>
        <w:pStyle w:val="2"/>
        <w:tabs>
          <w:tab w:val="left" w:pos="90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施工服务部保留对特殊情况实行特别限制的权利。</w:t>
      </w:r>
    </w:p>
    <w:p>
      <w:pPr>
        <w:pStyle w:val="2"/>
        <w:tabs>
          <w:tab w:val="left" w:pos="90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175260</wp:posOffset>
                </wp:positionV>
                <wp:extent cx="5143500" cy="635"/>
                <wp:effectExtent l="0" t="0" r="0" b="0"/>
                <wp:wrapNone/>
                <wp:docPr id="3" name="直接连接符 3"/>
                <wp:cNvGraphicFramePr/>
                <a:graphic xmlns:a="http://schemas.openxmlformats.org/drawingml/2006/main">
                  <a:graphicData uri="http://schemas.microsoft.com/office/word/2010/wordprocessingShape">
                    <wps:wsp>
                      <wps:cNvSpPr/>
                      <wps:spPr>
                        <a:xfrm>
                          <a:off x="0" y="0"/>
                          <a:ext cx="5143500" cy="635"/>
                        </a:xfrm>
                        <a:prstGeom prst="line">
                          <a:avLst/>
                        </a:prstGeom>
                        <a:ln w="9525">
                          <a:noFill/>
                        </a:ln>
                      </wps:spPr>
                      <wps:bodyPr upright="1"/>
                    </wps:wsp>
                  </a:graphicData>
                </a:graphic>
              </wp:anchor>
            </w:drawing>
          </mc:Choice>
          <mc:Fallback>
            <w:pict>
              <v:line id="_x0000_s1026" o:spid="_x0000_s1026" o:spt="20" style="position:absolute;left:0pt;margin-left:0pt;margin-top:13.8pt;height:0.05pt;width:405pt;z-index:251658240;mso-width-relative:page;mso-height-relative:page;" stroked="f" coordsize="21600,21600" o:gfxdata="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czPpENUAAAAGAQAADwAAAAAAAAABACAAAAAiAAAAZHJzL2Rvd25yZXYu&#10;eG1sUEsBAhQAFAAAAAgAh07iQASZo+WMAQAA7AIAAA4AAAAAAAAAAQAgAAAAJAEAAGRycy9lMm9E&#10;b2MueG1sUEsFBgAAAAAGAAYAWQEAACIFAAAAAA==&#10;">
                <v:path arrowok="t"/>
                <v:fill focussize="0,0"/>
                <v:stroke on="f"/>
                <v:imagedata o:title=""/>
                <o:lock v:ext="edit"/>
              </v:line>
            </w:pict>
          </mc:Fallback>
        </mc:AlternateContent>
      </w:r>
      <w:r>
        <w:rPr>
          <w:rFonts w:hint="eastAsia" w:ascii="宋体" w:hAnsi="宋体" w:cs="宋体"/>
          <w:color w:val="auto"/>
          <w:sz w:val="24"/>
        </w:rPr>
        <w:t>本活动施工单位的法人委托授权人已仔细阅读此施工搭建安全责任书及上述提及的相关规章制度，并保证严格遵守相关安全管理规定，否则，一旦出现安全问题本公司愿承担全部法律责任。</w:t>
      </w:r>
    </w:p>
    <w:p>
      <w:pPr>
        <w:pStyle w:val="2"/>
        <w:tabs>
          <w:tab w:val="left" w:pos="900"/>
          <w:tab w:val="left" w:pos="1260"/>
        </w:tabs>
        <w:spacing w:line="360" w:lineRule="auto"/>
        <w:ind w:firstLine="480" w:firstLineChars="200"/>
        <w:rPr>
          <w:rFonts w:hint="eastAsia" w:ascii="宋体" w:hAnsi="宋体"/>
          <w:color w:val="auto"/>
          <w:sz w:val="24"/>
        </w:rPr>
      </w:pPr>
    </w:p>
    <w:p>
      <w:pPr>
        <w:pStyle w:val="2"/>
        <w:tabs>
          <w:tab w:val="left" w:pos="900"/>
          <w:tab w:val="left" w:pos="1260"/>
        </w:tabs>
        <w:spacing w:line="360" w:lineRule="auto"/>
        <w:ind w:firstLine="480" w:firstLineChars="200"/>
        <w:rPr>
          <w:rFonts w:hint="eastAsia" w:ascii="宋体" w:hAnsi="宋体"/>
          <w:color w:val="auto"/>
          <w:sz w:val="24"/>
        </w:rPr>
      </w:pPr>
    </w:p>
    <w:p>
      <w:pPr>
        <w:spacing w:line="600" w:lineRule="auto"/>
        <w:ind w:firstLine="480" w:firstLineChars="200"/>
        <w:rPr>
          <w:rFonts w:ascii="宋体" w:hAnsi="宋体"/>
          <w:color w:val="auto"/>
          <w:sz w:val="24"/>
          <w:szCs w:val="28"/>
        </w:rPr>
      </w:pPr>
      <w:r>
        <w:rPr>
          <w:rFonts w:hint="eastAsia" w:ascii="宋体" w:hAnsi="宋体"/>
          <w:color w:val="auto"/>
          <w:sz w:val="24"/>
          <w:szCs w:val="28"/>
        </w:rPr>
        <w:t xml:space="preserve">南通国际会展中心                   主场或施工单位公章： </w:t>
      </w:r>
    </w:p>
    <w:p>
      <w:pPr>
        <w:spacing w:line="600" w:lineRule="auto"/>
        <w:ind w:firstLine="480" w:firstLineChars="200"/>
        <w:rPr>
          <w:rFonts w:hint="eastAsia" w:ascii="宋体" w:hAnsi="宋体"/>
          <w:color w:val="auto"/>
          <w:sz w:val="24"/>
          <w:szCs w:val="28"/>
        </w:rPr>
      </w:pPr>
      <w:r>
        <w:rPr>
          <w:rFonts w:hint="eastAsia" w:ascii="宋体" w:hAnsi="宋体"/>
          <w:color w:val="auto"/>
          <w:sz w:val="24"/>
          <w:szCs w:val="28"/>
        </w:rPr>
        <w:t xml:space="preserve">施工服务部                         公司法人委托授权人签字：    </w:t>
      </w:r>
    </w:p>
    <w:p>
      <w:pPr>
        <w:spacing w:line="600" w:lineRule="auto"/>
        <w:ind w:firstLine="720" w:firstLineChars="300"/>
        <w:rPr>
          <w:rFonts w:hint="eastAsia" w:ascii="宋体" w:hAnsi="宋体"/>
          <w:color w:val="auto"/>
          <w:sz w:val="24"/>
          <w:szCs w:val="28"/>
        </w:rPr>
      </w:pPr>
      <w:r>
        <w:rPr>
          <w:rFonts w:hint="eastAsia" w:ascii="宋体" w:hAnsi="宋体"/>
          <w:color w:val="auto"/>
          <w:sz w:val="24"/>
          <w:szCs w:val="28"/>
        </w:rPr>
        <w:t xml:space="preserve">                                 联系电话：</w:t>
      </w:r>
    </w:p>
    <w:p>
      <w:pPr>
        <w:spacing w:line="600" w:lineRule="auto"/>
        <w:ind w:firstLine="720" w:firstLineChars="300"/>
        <w:rPr>
          <w:rFonts w:hint="eastAsia"/>
          <w:b/>
          <w:color w:val="auto"/>
          <w:sz w:val="24"/>
        </w:rPr>
      </w:pPr>
      <w:r>
        <w:rPr>
          <w:rFonts w:hint="eastAsia" w:ascii="宋体" w:hAnsi="宋体"/>
          <w:color w:val="auto"/>
          <w:sz w:val="24"/>
          <w:szCs w:val="28"/>
        </w:rPr>
        <w:t xml:space="preserve">                               年      月     日</w:t>
      </w:r>
      <w:bookmarkEnd w:id="2"/>
      <w:bookmarkStart w:id="12" w:name="_Toc419881019"/>
      <w:r>
        <w:rPr>
          <w:rFonts w:hint="eastAsia"/>
          <w:b/>
          <w:color w:val="auto"/>
          <w:sz w:val="24"/>
        </w:rPr>
        <w:t xml:space="preserve">        </w:t>
      </w:r>
      <w:bookmarkEnd w:id="12"/>
      <w:bookmarkStart w:id="13" w:name="_Toc419881020"/>
      <w:r>
        <w:rPr>
          <w:rFonts w:hint="eastAsia"/>
          <w:b/>
          <w:color w:val="auto"/>
          <w:sz w:val="24"/>
        </w:rPr>
        <w:t xml:space="preserve">  </w:t>
      </w:r>
    </w:p>
    <w:p>
      <w:pPr>
        <w:spacing w:line="360" w:lineRule="auto"/>
        <w:ind w:firstLine="723" w:firstLineChars="300"/>
        <w:rPr>
          <w:rFonts w:hint="eastAsia"/>
          <w:b/>
          <w:color w:val="auto"/>
          <w:sz w:val="24"/>
        </w:rPr>
      </w:pPr>
    </w:p>
    <w:p>
      <w:pPr>
        <w:spacing w:line="360" w:lineRule="auto"/>
        <w:ind w:firstLine="723" w:firstLineChars="300"/>
        <w:rPr>
          <w:rFonts w:hint="eastAsia"/>
          <w:b/>
          <w:color w:val="auto"/>
          <w:sz w:val="24"/>
        </w:rPr>
      </w:pPr>
    </w:p>
    <w:p>
      <w:pPr>
        <w:spacing w:line="360" w:lineRule="auto"/>
        <w:ind w:firstLine="723" w:firstLineChars="300"/>
        <w:rPr>
          <w:rFonts w:hint="eastAsia"/>
          <w:b/>
          <w:color w:val="auto"/>
          <w:sz w:val="24"/>
        </w:rPr>
      </w:pPr>
    </w:p>
    <w:p>
      <w:pPr>
        <w:spacing w:line="360" w:lineRule="auto"/>
        <w:ind w:firstLine="723" w:firstLineChars="300"/>
        <w:rPr>
          <w:rFonts w:hint="eastAsia"/>
          <w:b/>
          <w:color w:val="auto"/>
          <w:sz w:val="24"/>
        </w:rPr>
      </w:pPr>
    </w:p>
    <w:bookmarkEnd w:id="13"/>
    <w:p>
      <w:pPr>
        <w:spacing w:line="276" w:lineRule="auto"/>
        <w:ind w:right="-540" w:rightChars="-257"/>
        <w:rPr>
          <w:rFonts w:hint="eastAsia" w:ascii="宋体" w:hAnsi="宋体"/>
          <w:color w:val="auto"/>
          <w:sz w:val="24"/>
          <w:szCs w:val="28"/>
        </w:rPr>
      </w:pPr>
    </w:p>
    <w:p>
      <w:pPr>
        <w:spacing w:line="276" w:lineRule="auto"/>
        <w:ind w:right="-540" w:rightChars="-257"/>
        <w:rPr>
          <w:rFonts w:hint="eastAsia" w:ascii="宋体" w:hAnsi="宋体"/>
          <w:color w:val="auto"/>
          <w:sz w:val="24"/>
          <w:szCs w:val="28"/>
        </w:rPr>
      </w:pPr>
    </w:p>
    <w:p>
      <w:pPr>
        <w:spacing w:line="276" w:lineRule="auto"/>
        <w:ind w:right="-540" w:rightChars="-257"/>
        <w:rPr>
          <w:rFonts w:hint="eastAsia" w:ascii="宋体" w:hAnsi="宋体"/>
          <w:color w:val="auto"/>
          <w:sz w:val="24"/>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C05"/>
    <w:multiLevelType w:val="multilevel"/>
    <w:tmpl w:val="08402C05"/>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C610FBF"/>
    <w:multiLevelType w:val="multilevel"/>
    <w:tmpl w:val="0C610FBF"/>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7D254D"/>
    <w:multiLevelType w:val="multilevel"/>
    <w:tmpl w:val="0D7D254D"/>
    <w:lvl w:ilvl="0" w:tentative="0">
      <w:start w:val="1"/>
      <w:numFmt w:val="decimal"/>
      <w:lvlText w:val="%1."/>
      <w:lvlJc w:val="left"/>
      <w:pPr>
        <w:ind w:left="420" w:hanging="420"/>
      </w:pPr>
      <w:rPr>
        <w:rFonts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E72B88"/>
    <w:multiLevelType w:val="multilevel"/>
    <w:tmpl w:val="1BE72B88"/>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53086F"/>
    <w:multiLevelType w:val="multilevel"/>
    <w:tmpl w:val="3853086F"/>
    <w:lvl w:ilvl="0" w:tentative="0">
      <w:start w:val="1"/>
      <w:numFmt w:val="decimal"/>
      <w:lvlText w:val="%1."/>
      <w:lvlJc w:val="left"/>
      <w:pPr>
        <w:ind w:left="420" w:hanging="420"/>
      </w:pPr>
      <w:rPr>
        <w:rFonts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948188B"/>
    <w:multiLevelType w:val="multilevel"/>
    <w:tmpl w:val="4948188B"/>
    <w:lvl w:ilvl="0" w:tentative="0">
      <w:start w:val="1"/>
      <w:numFmt w:val="decimal"/>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7A3D6C"/>
    <w:multiLevelType w:val="multilevel"/>
    <w:tmpl w:val="567A3D6C"/>
    <w:lvl w:ilvl="0" w:tentative="0">
      <w:start w:val="1"/>
      <w:numFmt w:val="decimal"/>
      <w:lvlText w:val="%1."/>
      <w:lvlJc w:val="left"/>
      <w:pPr>
        <w:ind w:left="420" w:hanging="420"/>
      </w:pPr>
      <w:rPr>
        <w:rFonts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972613"/>
    <w:multiLevelType w:val="multilevel"/>
    <w:tmpl w:val="70972613"/>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725492"/>
    <w:multiLevelType w:val="multilevel"/>
    <w:tmpl w:val="72725492"/>
    <w:lvl w:ilvl="0" w:tentative="0">
      <w:start w:val="1"/>
      <w:numFmt w:val="decimal"/>
      <w:lvlText w:val="%1."/>
      <w:lvlJc w:val="left"/>
      <w:pPr>
        <w:ind w:left="420" w:hanging="420"/>
      </w:pPr>
      <w:rPr>
        <w:rFonts w:ascii="宋体" w:hAnsi="宋体" w:eastAsia="宋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A1882"/>
    <w:rsid w:val="4A5A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cs="Times New Roman"/>
      <w:sz w:val="28"/>
      <w:szCs w:val="24"/>
    </w:rPr>
  </w:style>
  <w:style w:type="paragraph" w:customStyle="1" w:styleId="5">
    <w:name w:val="无间隔1"/>
    <w:qFormat/>
    <w:uiPriority w:val="1"/>
    <w:pPr>
      <w:widowControl w:val="0"/>
      <w:jc w:val="both"/>
    </w:pPr>
    <w:rPr>
      <w:rFonts w:ascii="Calibri" w:hAnsi="Calibri" w:eastAsia="宋体" w:cs="黑体"/>
      <w:kern w:val="2"/>
      <w:sz w:val="21"/>
      <w:szCs w:val="22"/>
      <w:lang w:val="en-US" w:eastAsia="zh-CN" w:bidi="ar-SA"/>
    </w:rPr>
  </w:style>
  <w:style w:type="paragraph" w:styleId="6">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2019-09-17T01:26:00Z</dcterms:created>
  <dc:creator>Lily</dc:creator>
  <cp:lastModifiedBy>Lily</cp:lastModifiedBy>
  <dcterms:modified xsi:type="dcterms:W3CDTF">2019-09-17T01:26:56Z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